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14.01.25</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Heading3"/>
        <w:bidi w:val="0"/>
        <w:jc w:val="start"/>
        <w:rPr/>
      </w:pPr>
      <w:r>
        <w:rPr/>
        <w:t xml:space="preserve">15 Jahre MehrWegGottesdienst: „Freude wählen“ am 16. </w:t>
      </w:r>
      <w:r>
        <w:rPr/>
        <w:t>Februar um</w:t>
      </w:r>
      <w:r>
        <w:rPr/>
        <w:t xml:space="preserve"> 17:30 </w:t>
      </w:r>
      <w:r>
        <w:rPr/>
        <w:t xml:space="preserve">Uhr in </w:t>
      </w:r>
      <w:r>
        <w:rPr/>
        <w:t>St. Johannis Schweinfurt</w:t>
      </w:r>
    </w:p>
    <w:p>
      <w:pPr>
        <w:pStyle w:val="Heading4"/>
        <w:bidi w:val="0"/>
        <w:jc w:val="start"/>
        <w:rPr/>
      </w:pPr>
      <w:r>
        <w:rPr/>
        <w:t xml:space="preserve">Der besondere Gottesdienst feiert Jubiläum </w:t>
      </w:r>
      <w:r>
        <w:rPr/>
        <w:t>mit Gottesdienst und Stehempfang</w:t>
      </w:r>
    </w:p>
    <w:p>
      <w:pPr>
        <w:pStyle w:val="BodyText"/>
        <w:bidi w:val="0"/>
        <w:jc w:val="start"/>
        <w:rPr/>
      </w:pPr>
      <w:r>
        <w:rPr>
          <w:b/>
          <w:bCs/>
        </w:rPr>
        <w:t>Schweinfurt.</w:t>
      </w:r>
      <w:r>
        <w:rPr/>
        <w:t xml:space="preserve">  Seit nunmehr 15 Jahren gibt es den MehrWegGottesdienst in Schweinfurt – ein Anlass zum Feiern! Die evangelische Citykirche lädt herzlich zu einer besonderen Jubiläumsausgabe am </w:t>
      </w:r>
      <w:r>
        <w:rPr>
          <w:rStyle w:val="Strong"/>
        </w:rPr>
        <w:t>16. Februar um 17:30 Uhr</w:t>
      </w:r>
      <w:r>
        <w:rPr/>
        <w:t xml:space="preserve"> in die </w:t>
      </w:r>
      <w:r>
        <w:rPr>
          <w:rStyle w:val="Strong"/>
        </w:rPr>
        <w:t>St. Johannis-Kirche</w:t>
      </w:r>
      <w:r>
        <w:rPr/>
        <w:t xml:space="preserve"> ein.</w:t>
      </w:r>
    </w:p>
    <w:p>
      <w:pPr>
        <w:pStyle w:val="BodyText"/>
        <w:bidi w:val="0"/>
        <w:jc w:val="start"/>
        <w:rPr/>
      </w:pPr>
      <w:r>
        <w:rPr/>
        <w:t xml:space="preserve">In einer Welt voller Herausforderungen – von Streit über Sorgen bis hin zu Krisen – </w:t>
      </w:r>
      <w:r>
        <w:rPr/>
        <w:t>machen</w:t>
      </w:r>
      <w:r>
        <w:rPr/>
        <w:t xml:space="preserve"> sich die Gottesdienstbesucher*innen auf die Suche nach den positiven Aspekten des Lebens. Passend zur Faschingszeit steht dabei die Freude im Mittelpunkt. Doch der Gottesdienst blickt auch über den Tellerrand hinaus: Eine Woche vor der Bundestagswahl steht die Frage im Raum, was die richtige Wahl – sowohl in der Politik als auch im persönlichen Leben – sein kann.</w:t>
      </w:r>
    </w:p>
    <w:p>
      <w:pPr>
        <w:pStyle w:val="BodyText"/>
        <w:bidi w:val="0"/>
        <w:jc w:val="start"/>
        <w:rPr/>
      </w:pPr>
      <w:r>
        <w:rPr>
          <w:rStyle w:val="Strong"/>
        </w:rPr>
        <w:t>Vor welcher Wahl stehen Sie?</w:t>
      </w:r>
      <w:r>
        <w:rPr/>
        <w:t xml:space="preserve"> Welche Wege liegen vor Ihnen? Oder haben Sie oft das Gefühl, dass andere für Sie entscheiden? Der MehrWegGottesdienst lädt Sie ein, gemeinsam mit anderen über diese Fragen nachzudenken. Musikalisch wird der Gottesdienst von der Band </w:t>
      </w:r>
      <w:r>
        <w:rPr>
          <w:rStyle w:val="Strong"/>
        </w:rPr>
        <w:t>MehrBlick</w:t>
      </w:r>
      <w:r>
        <w:rPr/>
        <w:t xml:space="preserve"> begleitet.</w:t>
      </w:r>
    </w:p>
    <w:p>
      <w:pPr>
        <w:pStyle w:val="BodyText"/>
        <w:bidi w:val="0"/>
        <w:jc w:val="start"/>
        <w:rPr/>
      </w:pPr>
      <w:r>
        <w:rPr/>
        <w:t>15 Jahre nach dem ersten MehrWegGottesdienst ist dies auch ein Moment des Rückblicks und Dankes. Rund 50 engagierte Menschen haben im Laufe der Jahre das Format geprägt und mitgestaltet. Sie alle und natürlich auch neue Besucher*innen sind herzlich eingeladen, mitzufeiern und beim anschließenden Stehempfang ins Gespräch zu kommen.</w:t>
      </w:r>
    </w:p>
    <w:p>
      <w:pPr>
        <w:pStyle w:val="BodyText"/>
        <w:bidi w:val="0"/>
        <w:jc w:val="start"/>
        <w:rPr/>
      </w:pPr>
      <w:r>
        <w:rPr>
          <w:rStyle w:val="Strong"/>
        </w:rPr>
        <w:t>Hintergrund: Der MehrWegGottesdienst</w:t>
      </w:r>
      <w:r>
        <w:rPr/>
        <w:br/>
        <w:t>Der MehrWegGottesdienst orientiert sich an der finnischen „ThomasMesse“, hat sich jedoch zu einer eigenständigen Form entwickelt. Er richtet sich besonders an Menschen, die Fragen haben, zweifeln oder sich in den traditionellen Sonntagsgottesdiensten nicht wiederfinden. Frei nach dem Motto der ThomasMesse „Fragende, Zweifler und andere gute Christen“ heißt der Gottesdienst alle willkommen.</w:t>
      </w:r>
    </w:p>
    <w:p>
      <w:pPr>
        <w:pStyle w:val="BodyText"/>
        <w:bidi w:val="0"/>
        <w:jc w:val="start"/>
        <w:rPr/>
      </w:pPr>
      <w:r>
        <w:rPr/>
        <w:t>Statt nur zuzuhören, sind die Besucher*innen eingeladen, sich aktiv zu beteiligen. Drei- bis viermal im Jahr bietet der MehrWegGottesdienst am Sonntagabend in St. Johannis die Möglichkeit, an verschiedenen Stationen in der Kirche neue Perspektiven zu entdecken: ob beim Schreiben eigener Gedanken, dem Empfang eines Segens oder einfach, um zur Ruhe zu kommen. Die Begleitung übernimmt eine Band – auf eine Orgel wird bewusst verzichtet.</w:t>
      </w:r>
    </w:p>
    <w:p>
      <w:pPr>
        <w:pStyle w:val="BodyText"/>
        <w:bidi w:val="0"/>
        <w:jc w:val="start"/>
        <w:rPr/>
      </w:pPr>
      <w:r>
        <w:rPr/>
        <w:t xml:space="preserve">Weitere Eindrücke aus den vergangenen Jahren finden Sie unter </w:t>
      </w:r>
      <w:hyperlink r:id="rId4">
        <w:r>
          <w:rPr>
            <w:rStyle w:val="Hyperlink"/>
          </w:rPr>
          <w:t>www.mehrweggottesdienst.de</w:t>
        </w:r>
      </w:hyperlink>
    </w:p>
    <w:p>
      <w:pPr>
        <w:pStyle w:val="Normal"/>
        <w:bidi w:val="0"/>
        <w:jc w:val="start"/>
        <w:rPr/>
      </w:pPr>
      <w:r>
        <w:rPr/>
        <w:br/>
        <w:t>Mit freundlichen Grüßen</w:t>
        <w:br/>
        <w:t>Heiko Kuschel, 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hyphenationZone w:val="0"/>
  <w:compat>
    <w:noLeading/>
    <w:doNotExpandShiftReturn/>
    <w:usePrinterMetrics/>
    <w:compatSetting w:name="compatibilityMode" w:uri="http://schemas.microsoft.com/office/word" w:val="14"/>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Comment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Fuzeile">
    <w:name w:val="Kopf-/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47</TotalTime>
  <Application>LibreOffice/24.8.3.2$Windows_X86_64 LibreOffice_project/48a6bac9e7e268aeb4c3483fcf825c94556d9f92</Application>
  <AppVersion>15.0000</AppVersion>
  <Pages>1</Pages>
  <Words>373</Words>
  <Characters>2364</Characters>
  <CharactersWithSpaces>2731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2025-01-14T16:37:34Z</dcterms:created>
  <dc:creator>Heiko Kuschel</dc:creator>
  <dc:description/>
  <dc:language>de-DE</dc:language>
  <cp:lastModifiedBy>Heiko Kuschel</cp:lastModifiedBy>
  <dcterms:modified xsi:type="dcterms:W3CDTF">2025-01-15T11:56:32Z</dcterms:modified>
  <cp:revision>5</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